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center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color w:val="1a1a1a"/>
          <w:sz w:val="52"/>
          <w:szCs w:val="52"/>
          <w:rtl w:val="0"/>
        </w:rPr>
        <w:t xml:space="preserve">Michael Hawkins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c9a84c"/>
          <w:sz w:val="22"/>
          <w:szCs w:val="22"/>
          <w:rtl w:val="0"/>
        </w:rPr>
        <w:t xml:space="preserve">Lead / Senior Product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17"/>
          <w:szCs w:val="17"/>
          <w:rtl w:val="0"/>
        </w:rPr>
        <w:t xml:space="preserve">Enterprise SaaS · AI-Assisted Workflows · Human-in-the-Loop Systems · Design Systems at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444444"/>
          <w:sz w:val="17"/>
          <w:szCs w:val="17"/>
          <w:rtl w:val="0"/>
        </w:rPr>
        <w:t xml:space="preserve">Minneapolis–St. Paul, MN</w:t>
      </w:r>
      <w:r w:rsidDel="00000000" w:rsidR="00000000" w:rsidRPr="00000000">
        <w:rPr>
          <w:rFonts w:ascii="Calibri" w:cs="Calibri" w:eastAsia="Calibri" w:hAnsi="Calibri"/>
          <w:color w:val="666666"/>
          <w:sz w:val="17"/>
          <w:szCs w:val="17"/>
          <w:rtl w:val="0"/>
        </w:rPr>
        <w:t xml:space="preserve"> · </w:t>
      </w:r>
      <w:r w:rsidDel="00000000" w:rsidR="00000000" w:rsidRPr="00000000">
        <w:rPr>
          <w:rFonts w:ascii="Calibri" w:cs="Calibri" w:eastAsia="Calibri" w:hAnsi="Calibri"/>
          <w:color w:val="444444"/>
          <w:sz w:val="17"/>
          <w:szCs w:val="17"/>
          <w:rtl w:val="0"/>
        </w:rPr>
        <w:t xml:space="preserve">(310) 348-0701</w:t>
      </w:r>
      <w:r w:rsidDel="00000000" w:rsidR="00000000" w:rsidRPr="00000000">
        <w:rPr>
          <w:rFonts w:ascii="Calibri" w:cs="Calibri" w:eastAsia="Calibri" w:hAnsi="Calibri"/>
          <w:color w:val="666666"/>
          <w:sz w:val="17"/>
          <w:szCs w:val="17"/>
          <w:rtl w:val="0"/>
        </w:rPr>
        <w:t xml:space="preserve"> · </w:t>
      </w:r>
      <w:r w:rsidDel="00000000" w:rsidR="00000000" w:rsidRPr="00000000">
        <w:rPr>
          <w:rFonts w:ascii="Calibri" w:cs="Calibri" w:eastAsia="Calibri" w:hAnsi="Calibri"/>
          <w:color w:val="c9a84c"/>
          <w:sz w:val="17"/>
          <w:szCs w:val="17"/>
          <w:rtl w:val="0"/>
        </w:rPr>
        <w:t xml:space="preserve">MIKE@MHPORTFOLIO.COM</w:t>
      </w:r>
      <w:r w:rsidDel="00000000" w:rsidR="00000000" w:rsidRPr="00000000">
        <w:rPr>
          <w:rFonts w:ascii="Calibri" w:cs="Calibri" w:eastAsia="Calibri" w:hAnsi="Calibri"/>
          <w:color w:val="666666"/>
          <w:sz w:val="17"/>
          <w:szCs w:val="17"/>
          <w:rtl w:val="0"/>
        </w:rPr>
        <w:t xml:space="preserve"> · </w:t>
      </w:r>
      <w:r w:rsidDel="00000000" w:rsidR="00000000" w:rsidRPr="00000000">
        <w:rPr>
          <w:rFonts w:ascii="Calibri" w:cs="Calibri" w:eastAsia="Calibri" w:hAnsi="Calibri"/>
          <w:color w:val="c9a84c"/>
          <w:sz w:val="17"/>
          <w:szCs w:val="17"/>
          <w:rtl w:val="0"/>
        </w:rPr>
        <w:t xml:space="preserve">MHPORTFOLIO.COM</w:t>
      </w:r>
      <w:r w:rsidDel="00000000" w:rsidR="00000000" w:rsidRPr="00000000">
        <w:rPr>
          <w:rFonts w:ascii="Calibri" w:cs="Calibri" w:eastAsia="Calibri" w:hAnsi="Calibri"/>
          <w:color w:val="666666"/>
          <w:sz w:val="17"/>
          <w:szCs w:val="17"/>
          <w:rtl w:val="0"/>
        </w:rPr>
        <w:t xml:space="preserve"> · </w:t>
      </w:r>
      <w:r w:rsidDel="00000000" w:rsidR="00000000" w:rsidRPr="00000000">
        <w:rPr>
          <w:rFonts w:ascii="Calibri" w:cs="Calibri" w:eastAsia="Calibri" w:hAnsi="Calibri"/>
          <w:color w:val="c9a84c"/>
          <w:sz w:val="17"/>
          <w:szCs w:val="17"/>
          <w:rtl w:val="0"/>
        </w:rPr>
        <w:t xml:space="preserve">LINKEDIN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c9a84c" w:space="4" w:sz="4" w:val="single"/>
        </w:pBdr>
        <w:spacing w:after="60" w:before="2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8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444444"/>
          <w:sz w:val="18"/>
          <w:szCs w:val="18"/>
          <w:rtl w:val="0"/>
        </w:rPr>
        <w:t xml:space="preserve">Product designer with 15+ years shipping enterprise platforms where trust, complexity, and AI intersect. Led design across AI-assisted review, remote proctoring, identity verification, and operational tools serving 2M+ monthly users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444444"/>
          <w:sz w:val="18"/>
          <w:szCs w:val="18"/>
          <w:rtl w:val="0"/>
        </w:rPr>
        <w:t xml:space="preserve">delivering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444444"/>
          <w:sz w:val="18"/>
          <w:szCs w:val="18"/>
          <w:rtl w:val="0"/>
        </w:rPr>
        <w:t xml:space="preserve">10× faster review workflows, 65% friction reduction, and 300% user growth.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444444"/>
          <w:sz w:val="18"/>
          <w:szCs w:val="18"/>
          <w:rtl w:val="0"/>
        </w:rPr>
        <w:t xml:space="preserve"> Known for turning messy constraints into intuitive flows that product and engineering trust to ship and 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c9a84c" w:space="4" w:sz="4" w:val="single"/>
        </w:pBdr>
        <w:spacing w:after="60" w:before="2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18"/>
          <w:szCs w:val="18"/>
          <w:rtl w:val="0"/>
        </w:rPr>
        <w:t xml:space="preserve">Human-AI Systems: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AI-assisted workflows, human-in-the-loop design, model explainability, confidence calibration, decision-support systems, computer vision UX, agentic workflow 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18"/>
          <w:szCs w:val="18"/>
          <w:rtl w:val="0"/>
        </w:rPr>
        <w:t xml:space="preserve">Enterprise Product: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Complex admin workflows, data-dense operational interfaces, role-based systems, design systems (50+ apps), multi-tenant SaaS, legacy modernization, identity &amp; biometrics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18"/>
          <w:szCs w:val="18"/>
          <w:rtl w:val="0"/>
        </w:rPr>
        <w:t xml:space="preserve">Strategy &amp; Methods: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Product strategy, cross-functional partnership, design sprints, stakeholder alignment, end-to-end product ownership, systems thinking, usability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18"/>
          <w:szCs w:val="18"/>
          <w:rtl w:val="0"/>
        </w:rPr>
        <w:t xml:space="preserve">Tools: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Figma (libraries, components, auto-layout, tokens, prototyping), Claude, ChatGPT, Adobe CC, Miro, Confluence, Jira, HTML/CSS, responsive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c9a84c" w:space="4" w:sz="4" w:val="single"/>
        </w:pBdr>
        <w:spacing w:after="60" w:before="2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1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Senior Product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Pearson VUE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Bloomington, MN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18"/>
          <w:szCs w:val="18"/>
          <w:rtl w:val="0"/>
        </w:rPr>
        <w:t xml:space="preserve">04/2019 – 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before="40" w:lineRule="auto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444444"/>
          <w:sz w:val="18"/>
          <w:szCs w:val="18"/>
          <w:rtl w:val="0"/>
        </w:rPr>
        <w:t xml:space="preserve">Led product design across remote proctoring, identity verification, AI-assisted review, and enterprise operations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444444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444444"/>
          <w:sz w:val="18"/>
          <w:szCs w:val="18"/>
          <w:rtl w:val="0"/>
        </w:rPr>
        <w:t xml:space="preserve">partnering with Product, Engineering, AI/ML, and compliance to ship trust-critical systems at global 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Reduced review time from 3+ hours to under 10 minutes by designing Smart Review, an AI-assisted investigation workspace that translated model probability scores into clear risk indicators, structured decision paths, and explainability cues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keeping human judgment firmly in the loop.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Recognized that AI flags without supporting evidence increase automation bias, then designed an evidence-first triage model that surfaced the “why” behind each flag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achieving 98% agreement between reviewers and investigators.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Reduced onboarding friction by 65% for 200K+ new monthly users by redesigning a legacy certification portal through design sprints, usability testing, and phased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Partnered with engineering to transform a high-friction room-verification step into an AI-guided computer vision workflow that improved issue detection and reduced support burden before candidates entered the live proctoring queue.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Under strict compliance, auditability, and offline constraints, modernized a legacy desktop admissions workflow into a tablet-based biometric pilot for secure test-center operations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balancing security requirements with real-world usability.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Re-architected an enterprise asset management platform’s information architecture, reducing time on task by 50% for B2B administrators across partnerships with Microsoft, Amazon, and Apple while cutting support escalations.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Compressed a 24-month platform roadmap into 6 months during a global crisis, reducing check-in failure rates by 25% through rapid iteration and close cross-functional partnership.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1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Senior UX/UI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Pearson VUE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Bloomington, MN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18"/>
          <w:szCs w:val="18"/>
          <w:rtl w:val="0"/>
        </w:rPr>
        <w:t xml:space="preserve">05/2014 – 04/2019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40" w:lineRule="auto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444444"/>
          <w:sz w:val="18"/>
          <w:szCs w:val="18"/>
          <w:rtl w:val="0"/>
        </w:rPr>
        <w:t xml:space="preserve">Owned key parts of the company’s digital ecosystem across 50+ applications and 10+ technology stacks, including the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444444"/>
          <w:sz w:val="18"/>
          <w:szCs w:val="18"/>
          <w:rtl w:val="0"/>
        </w:rPr>
        <w:t xml:space="preserve">complete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444444"/>
          <w:sz w:val="18"/>
          <w:szCs w:val="18"/>
          <w:rtl w:val="0"/>
        </w:rPr>
        <w:t xml:space="preserve"> design of the 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444444"/>
          <w:sz w:val="18"/>
          <w:szCs w:val="18"/>
          <w:rtl w:val="0"/>
        </w:rPr>
        <w:t xml:space="preserve">NVUE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444444"/>
          <w:sz w:val="18"/>
          <w:szCs w:val="18"/>
          <w:rtl w:val="0"/>
        </w:rPr>
        <w:t xml:space="preserve">remote proctoring check-in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Founding designer of OnVUE remote proctoring, owning the end-to-end experience from initial launch through global scale.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remote proctoring check-in experience end to end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a consumer-facing platform and B2B proctor toolset that supported 300% user volume growth over 5+ years of continuous product stewardship.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Established scalable design patterns and brand standards across 50+ applications and 10+ technology stacks, improving consistency and usability at enterprise 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Directed delivery of 10+ high-traffic B2B and B2C portal applications for partners including Microsoft, Adobe, and AWS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improving clarity, consistency, and product-market fit across diverse stakeholder groups.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1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Senior UX/UI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Pearson Credential Manager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Bloomington, MN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18"/>
          <w:szCs w:val="18"/>
          <w:rtl w:val="0"/>
        </w:rPr>
        <w:t xml:space="preserve">03/2013 – 05/2014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Built UX practice inside an engineering-led organization by introducing design methods and structured journey thinking for administrators, sponsors, and enterprise partners.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Designed complex admin and partner workflows, translating detailed requirements into clearer interface patterns and more usable enterprise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1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Creative Director – UX &amp;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BrandSpring Solutions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Eden Prairie, MN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18"/>
          <w:szCs w:val="18"/>
          <w:rtl w:val="0"/>
        </w:rPr>
        <w:t xml:space="preserve">03/2011 – 03/2013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Led a 4-person design team creating high-fidelity prototypes, workflows, and web experiences for enterprise clients. Expanded the agency’s interactive presence and inbound lead engagement through redesign and social media strategy.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1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Creative Director – UX &amp; Product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Knowledge Adventure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Torrance, CA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18"/>
          <w:szCs w:val="18"/>
          <w:rtl w:val="0"/>
        </w:rPr>
        <w:t xml:space="preserve">03/2008 – 03/2011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Led product and marketing initiatives that increased platform downloads by 68% and subscription revenue by 400%. Built design practices while hiring, managing, and mentoring designers to scale output and quality.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c9a84c" w:space="4" w:sz="4" w:val="single"/>
        </w:pBdr>
        <w:spacing w:after="60" w:before="2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84c"/>
          <w:sz w:val="18"/>
          <w:szCs w:val="1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18"/>
          <w:szCs w:val="18"/>
          <w:rtl w:val="0"/>
        </w:rPr>
        <w:t xml:space="preserve">A.A.S. Graphic Design &amp; Visual Communication</w:t>
      </w:r>
      <w:r w:rsidDel="00000000" w:rsidR="00000000" w:rsidRPr="00000000">
        <w:rPr>
          <w:rFonts w:ascii="Calibri" w:cs="Calibri" w:eastAsia="Calibri" w:hAnsi="Calibri"/>
          <w:color w:val="666666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Minneapolis Technical College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3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l4Y3RqWa3+c8N0d4WChY4UU1g==">CgMxLjA4AHIhMXpxZ3VsQy1uUkZtYU1YbFVXTDZOcmhiOUhULXgzUkhC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